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because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nor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spouse.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$18,000,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2024,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her twin daughters, age 17, in her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2023 Federal income tax return on March 4, 2024. The return reflects an overpayment of $6,000, and the taxpayer requests a refund of this amount. The refund is paid on May 16, 2024.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were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as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ESG reporting of certain tax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among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does not need to have a PTIN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Sally, a paid intern at a CPA firm, who helps prepare simple returns but does not sign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who reviews and signs returns for 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Jeff who mostly does data entry at the CPA firm where he works but also occasionally handles interviews with clients to obtain their tax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Pooja who volunteers at an IRS tax preparation site to prepare simple returns for individuals eligible for the free assistance.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0"/>
                <w:szCs w:val="20"/>
                <w:bdr w:val="nil"/>
                <w:rtl w:val="0"/>
              </w:rPr>
              <w:t>A CPA assisting a client with an IRS examination is subject to the following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Taxpayer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Safeguards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Completion of the IRS Enrolled Agent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2024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$306,000 [$18,000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2024.</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2024).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2024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2024,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1993, Martina leased real estate to Drab Corporation for 20 years. Drab Corporation made significant capital improvements to the property. In 2012, Drab decided not to renew the lease and vacated the property. At that time, the value of the improvements was $800,000. Martina sells the real estate in 2024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2024).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2022, Deborah became 65 years old. In 2023 she added a swimming pool and in 2024 she converted the residence to rental property and moved into an assisted living facility. Since 2021,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2022 when Deborah reached age 65. The increases probably occurred in 2023 when she added the pool and in 2024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popular with both merchants and consumers and serve the social need of defraying some of the costs of sending children to school. Once established, however, they are difficult to get rid of. Thus, they become an annual drain on sales tax revenue.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since they are available to buyers at all income levels, they provide tax savings to taxpayers who do not need them and who might obtain greater tax breaks than others, as they have more funds to spend on the tax free items.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spouse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2024,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2024. In reviewing her 2023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2023 correcting the error. If she refuses, you should assess the gravity of the error and how it impacts on your ability to file an accurate return for 2024.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a practitioner, you cannot play the audit lottery. You must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proper return for her</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27,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Taxation and Understanding the Federal Tax Law</dc:title>
  <dc:creator>John Namale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GE2TONZXHE4TIMRV</vt:lpwstr>
  </property>
</Properties>
</file>