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business that is legally separate and distinct from its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are those activities by which the company obtains funds to start and operate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 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the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fraudulent acts by senior executives started as what they considered to be small ethical lapses that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like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are those activities by which a company generates revenues from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general-purpose financial statement would be a report about projected price increases related to transportation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businesses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retail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owned by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principle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 requires that economic data be recorded in dollars for companies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accounting equation can be expressed as Assets – Liabilities =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stockholders.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stockholders'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stockholders'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stockholders'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stockholders'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company was $50,000, $20,000 in cash dividends were paid, and the shareholders invested $10,000 in cash, the stockholders' equity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Dividends paid to stockholders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primary financial statements of a corporation are the income statement,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and the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reports the changes in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operating activities, cash flows from income activities, and cash flows from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types of governmental reporting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are all examples of a retail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 Lines, Marriott, Gap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Amazon.com, Delta Air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groups are considered to be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internal users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stockholders with information regarding the market value of the company’s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information regarding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stockholders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CPI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personally guarantee loans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its accounting system to meet those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guidelines for behaving ethically?</w:t>
            </w:r>
          </w:p>
          <w:tbl>
            <w:tblPr>
              <w:tblW w:w="8709" w:type="dxa"/>
              <w:jc w:val="left"/>
              <w:tblBorders>
                <w:top w:val="nil"/>
                <w:left w:val="nil"/>
                <w:bottom w:val="nil"/>
                <w:right w:val="nil"/>
                <w:insideH w:val="nil"/>
                <w:insideV w:val="nil"/>
              </w:tblBorders>
              <w:tblCellMar>
                <w:top w:w="0" w:type="dxa"/>
                <w:left w:w="0" w:type="dxa"/>
                <w:bottom w:w="0" w:type="dxa"/>
                <w:right w:w="0" w:type="dxa"/>
              </w:tblCellMar>
            </w:tblPr>
            <w:tblGrid>
              <w:gridCol w:w="309"/>
              <w:gridCol w:w="772"/>
              <w:gridCol w:w="7628"/>
            </w:tblGrid>
            <w:tr>
              <w:tblPrEx>
                <w:tblW w:w="8709"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tblW w:w="8709" w:type="dxa"/>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your decision.</w:t>
                  </w:r>
                </w:p>
              </w:tc>
            </w:tr>
            <w:tr>
              <w:tblPrEx>
                <w:tblW w:w="8709" w:type="dxa"/>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 ethical decision by using your personal ethical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business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entity is an individual economic unit for which data are recorded, analyzed, and reported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the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principle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and the American Red Cross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authoritative body in the United States that has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monetary unit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 principle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Focus Company initially offered to buy the land for $177,000. The companies settled on a purchase price of $212,000. On the same day, another piece of land on the same block sold for $232,000. Under the cost principle,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accounting principle can be adopted with stockholders'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stockholders and/or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Expenses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Stockholders'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stockholders' equity increased by $60,000 during the same period, the amount and direction (increase or decrease) of the period's change in total assets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for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monetary value </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for selling goods or services to customers </w:t>
            </w:r>
            <w:r>
              <w:rPr>
                <w:rStyle w:val="DefaultParagraphFont"/>
                <w:rFonts w:ascii="Times New Roman" w:eastAsia="Times New Roman" w:hAnsi="Times New Roman" w:cs="Times New Roman"/>
                <w:b w:val="0"/>
                <w:bCs w:val="0"/>
                <w:i w:val="0"/>
                <w:iCs w:val="0"/>
                <w:smallCaps w:val="0"/>
                <w:color w:val="000000"/>
                <w:sz w:val="22"/>
                <w:szCs w:val="22"/>
                <w:bdr w:val="nil"/>
                <w:rtl w:val="0"/>
              </w:rPr>
              <w:t>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stockholders' equity increased by $71,000 during the same period, then the amount and direction (increase or decrease) of the period's change in total liabilities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stockholders' equity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payment of rent for equipment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stockholders'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stockholders'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stockholders'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stockholders'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stockholders' equity increases by $62,000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the end of its accounting period, December 31, Year 1, Great Plains Company has assets of $940,000 and liabilities of $300,000. During Year 2, stockholders invested an additional $73,000 and received $33,000 in dividends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stockholders'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 </w:t>
                  </w:r>
                  <w:r>
                    <w:rPr>
                      <w:rStyle w:val="DefaultParagraphFont"/>
                      <w:rFonts w:ascii="Times New Roman" w:eastAsia="Times New Roman" w:hAnsi="Times New Roman" w:cs="Times New Roman"/>
                      <w:b w:val="0"/>
                      <w:bCs w:val="0"/>
                      <w:i w:val="0"/>
                      <w:iCs w:val="0"/>
                      <w:smallCaps w:val="0"/>
                      <w:color w:val="000000"/>
                      <w:sz w:val="22"/>
                      <w:szCs w:val="22"/>
                      <w:bdr w:val="nil"/>
                      <w:rtl w:val="0"/>
                    </w:rPr>
                    <w:t>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dividends,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earning of revenues, incurrence of expenses, and purchase of supplies on account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 Corporation is starting its computer programming business and has sold stock of $15,000. Identify how the accounting equation will be affected.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tockholders' equity (Common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Ramos Repair Company is paying a cash dividend. How does this transaction affect Ramos Repair Company’s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stockholders' equity (Dividends)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stockholders' equity (Dividends)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the CEO, buys $15,000 in stock, placing the money in a bank account in the name of Bob's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provided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purchased hedge trimmers for Bob's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pays her monthly personal credit card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supplies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period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Four financial statements are usually prepared for a business. The statement of cash flows is usually prepared last.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 (SSE)</w:t>
            </w:r>
            <w:r>
              <w:rPr>
                <w:rStyle w:val="DefaultParagraphFont"/>
                <w:rFonts w:ascii="Times New Roman" w:eastAsia="Times New Roman" w:hAnsi="Times New Roman" w:cs="Times New Roman"/>
                <w:b w:val="0"/>
                <w:bCs w:val="0"/>
                <w:i w:val="0"/>
                <w:iCs w:val="0"/>
                <w:smallCaps w:val="0"/>
                <w:color w:val="000000"/>
                <w:sz w:val="22"/>
                <w:szCs w:val="22"/>
                <w:bdr w:val="nil"/>
                <w:rtl w:val="0"/>
              </w:rPr>
              <w:t>,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SSE,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SSE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SSE,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SSE, 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in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ending balance of the retained earnings account appears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shareholder wanted to know how money flowed into and out of the company, which financial statement would the shareholder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regarding the ratio of liabilities to stockholders' equity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ratio of 1 indicates that liabilities equal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Sole proprietorships can use this ratio but substitute total owner's equity for 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had the following data for two recent years:</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preparation firm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club and spa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automobile dealer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retail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 publisher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 printer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men’s clothing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dressmaking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generates 90% of business revenues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partnership form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constitutes 20%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receipt of cash for services provided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of cash to a creditor on account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receipt of cash from a credit customer on account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of dividends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stockholders’ equity;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supplies on credit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Borrowing money from the bank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purchase of equipment for cash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using up of supplies on hand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should be prepared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should be prepared second?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Managerial accounting reports often include sensitive information, for example about customers, prices, or plans to expand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like Enron, HealthSouth, and Xerox Corporation have been caught in the midst of ethical lapses that led to fines, firings, and criminal and/or civil prosecution. List and briefly describe two factors that are responsible for what went wrong in these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two factors are: (1) failure in individual character and (2) company culture of greed and ethical indifference. Honesty, integrity, and fairness in the face of pressure to hide the truth are important characteristics of an ethical businessperson. The behavior and attitude of senior management set a firm’s culture. That culture in turn flows down to lower-level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each of the following as either internal or external users of accounting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2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companies, identify whether they are a service, retail, or manufacturing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3480" w:type="dxa"/>
              <w:jc w:val="left"/>
              <w:tblBorders>
                <w:top w:val="nil"/>
                <w:left w:val="nil"/>
                <w:bottom w:val="nil"/>
                <w:right w:val="nil"/>
                <w:insideH w:val="nil"/>
                <w:insideV w:val="nil"/>
              </w:tblBorders>
              <w:tblCellMar>
                <w:top w:w="0" w:type="dxa"/>
                <w:left w:w="0" w:type="dxa"/>
                <w:bottom w:w="0" w:type="dxa"/>
                <w:right w:w="0" w:type="dxa"/>
              </w:tblCellMar>
            </w:tblPr>
            <w:tblGrid>
              <w:gridCol w:w="822"/>
              <w:gridCol w:w="2658"/>
            </w:tblGrid>
            <w:tr>
              <w:tblPrEx>
                <w:tblW w:w="3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Kohl's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Regal Cinemas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Applebee’s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600" w:type="dxa"/>
                    <w:jc w:val="left"/>
                    <w:tblBorders>
                      <w:top w:val="nil"/>
                      <w:left w:val="nil"/>
                      <w:bottom w:val="nil"/>
                      <w:right w:val="nil"/>
                      <w:insideH w:val="nil"/>
                      <w:insideV w:val="nil"/>
                    </w:tblBorders>
                    <w:tblCellMar>
                      <w:top w:w="0" w:type="dxa"/>
                      <w:left w:w="0" w:type="dxa"/>
                      <w:bottom w:w="0" w:type="dxa"/>
                      <w:right w:w="0" w:type="dxa"/>
                    </w:tblCellMar>
                  </w:tblPr>
                  <w:tblGrid>
                    <w:gridCol w:w="683"/>
                    <w:gridCol w:w="2917"/>
                  </w:tblGrid>
                  <w:tr>
                    <w:tblPrEx>
                      <w:tblW w:w="36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 </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information for internal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Focus Company initially offered to buy the land for $107,000. The companies settled on a purchase price of $115,000. On the same day, another piece of land on the same block sold for $122,000. Under the cost principle, what amount will be used to record this transaction in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limits the economic data in an accounting system 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related directly to the activities of the business. In other words, the business is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viewed as an entity separate from its owners, creditors, or other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on their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 based on objective evidence. In exchanges between a buyer and a seller, both try to get the best price. Only the final agreed-upon amount is objective </w:t>
                  </w:r>
                  <w:r>
                    <w:rPr>
                      <w:rStyle w:val="DefaultParagraphFont"/>
                      <w:rFonts w:ascii="Times New Roman" w:eastAsia="Times New Roman" w:hAnsi="Times New Roman" w:cs="Times New Roman"/>
                      <w:b w:val="0"/>
                      <w:bCs w:val="0"/>
                      <w:i w:val="0"/>
                      <w:iCs w:val="0"/>
                      <w:smallCaps w:val="0"/>
                      <w:color w:val="000000"/>
                      <w:sz w:val="22"/>
                      <w:szCs w:val="22"/>
                      <w:bdr w:val="nil"/>
                      <w:rtl w:val="0"/>
                    </w:rPr>
                    <w:t>enough to be recorded in the accounting 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 requires that financial reports be expressed in a single monetary unit, or currency. For example, economic data in the United States must be recorded in U.S. dollars. This provides a common measurement of the effects of economic events and transactions on an entity.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assumption, economic data are limited to the direct activities of the business. The business is viewed as separate from its owner. Therefore, when Bob buys a personal automobile, it is not listed on the books of Johnson’s Carpet Cleaning, unless Bob invests it in the business. In this case, the loan is a personal debt and not a liability of the company, and the cash is from Bob’s personal account and not the company’s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8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CEO of Ryan's Arcade. At the end of its accounting period, December 31, Ryan’s Arcade has assets of $450,000 and liabilities of $125,000. Using the accounting equation, determine the following amounts: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as of December 31 at the end of the next year, assuming that assets increased by $65,000 and liabilities increased by $35,000 during the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753" w:type="dxa"/>
                    <w:jc w:val="left"/>
                    <w:tblBorders>
                      <w:top w:val="nil"/>
                      <w:left w:val="nil"/>
                      <w:bottom w:val="nil"/>
                      <w:right w:val="nil"/>
                      <w:insideH w:val="nil"/>
                      <w:insideV w:val="nil"/>
                    </w:tblBorders>
                    <w:tblCellMar>
                      <w:top w:w="0" w:type="dxa"/>
                      <w:left w:w="0" w:type="dxa"/>
                      <w:bottom w:w="0" w:type="dxa"/>
                      <w:right w:w="0" w:type="dxa"/>
                    </w:tblCellMar>
                  </w:tblPr>
                  <w:tblGrid>
                    <w:gridCol w:w="574"/>
                    <w:gridCol w:w="9179"/>
                  </w:tblGrid>
                  <w:tr>
                    <w:tblPrEx>
                      <w:tblW w:w="9753"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$325,000 ($450,000 − $125,000)</w:t>
                        </w:r>
                      </w:p>
                    </w:tc>
                  </w:tr>
                  <w:tr>
                    <w:tblPrEx>
                      <w:tblW w:w="9753" w:type="dxa"/>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$355,000 </w:t>
                        </w:r>
                        <w:r>
                          <w:rPr>
                            <w:rStyle w:val="DefaultParagraphFont"/>
                            <w:rFonts w:ascii="Times New Roman" w:eastAsia="Times New Roman" w:hAnsi="Times New Roman" w:cs="Times New Roman"/>
                            <w:b w:val="0"/>
                            <w:bCs w:val="0"/>
                            <w:i w:val="0"/>
                            <w:iCs w:val="0"/>
                            <w:smallCaps w:val="0"/>
                            <w:color w:val="000000"/>
                            <w:sz w:val="22"/>
                            <w:szCs w:val="22"/>
                            <w:bdr w:val="nil"/>
                            <w:rtl w:val="0"/>
                          </w:rPr>
                          <w:t>[($450,000 + $65,000) − ($125,000 + $35,000)]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Krammer Company has liabilities equal to one-fourth of the total assets. Krammer’s stockholders' equity is $45,000. Using the accounting equation, what is the amount of liabilities for Krammer?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 = $15,000 in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2"/>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Arial" w:eastAsia="Arial" w:hAnsi="Arial" w:cs="Arial"/>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4"/>
                    <w:gridCol w:w="71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$83,000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$8,000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$21,000 ($53,000 – $32,000)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$40,900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$198,280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$15,500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following independent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 Company's assets were $75,000, and its stockholders' equity was $38,000. During the year, assets increased by $18,000, and liabilities increased by $4,000. What was the stockholders' equity at the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stockholders' equity of $66,000.  If assets increased by $10,000 and liabilities decreased by $5,000, what was the stockholders'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88"/>
              <w:gridCol w:w="7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beginning-of-year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$52,000 end-of-year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beginning-of-year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$5,000) = $81,000 end-of-year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stockholders' equity as of July 1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its accounting period, December 31, of Year 1, Hsu’s Financial Services has assets of $575,000 and stockholders'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 liabilities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$450,000, and there were no additional investments or dividends.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7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$240,000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shareholders'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$193,000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accounts represents an asset, liability, or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2"/>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2"/>
                    <w:gridCol w:w="7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Stockholders' equity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Stockholders' equity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Stockholders' equity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4"/>
              <w:gridCol w:w="7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$205,000 = $225,000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$222,000 </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$203,000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questions that follow.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577" w:type="dxa"/>
              <w:jc w:val="left"/>
              <w:tblBorders>
                <w:top w:val="nil"/>
                <w:left w:val="nil"/>
                <w:bottom w:val="nil"/>
                <w:right w:val="nil"/>
                <w:insideH w:val="nil"/>
                <w:insideV w:val="nil"/>
              </w:tblBorders>
              <w:tblCellMar>
                <w:top w:w="0" w:type="dxa"/>
                <w:left w:w="0" w:type="dxa"/>
                <w:bottom w:w="0" w:type="dxa"/>
                <w:right w:w="0" w:type="dxa"/>
              </w:tblCellMar>
            </w:tblPr>
            <w:tblGrid>
              <w:gridCol w:w="324"/>
              <w:gridCol w:w="2831"/>
              <w:gridCol w:w="1134"/>
              <w:gridCol w:w="324"/>
              <w:gridCol w:w="2653"/>
              <w:gridCol w:w="1310"/>
            </w:tblGrid>
            <w:tr>
              <w:tblPrEx>
                <w:tblW w:w="85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&amp;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25" w:type="dxa"/>
                    <w:jc w:val="left"/>
                    <w:tblBorders>
                      <w:top w:val="nil"/>
                      <w:left w:val="nil"/>
                      <w:bottom w:val="nil"/>
                      <w:right w:val="nil"/>
                      <w:insideH w:val="nil"/>
                      <w:insideV w:val="nil"/>
                    </w:tblBorders>
                    <w:tblCellMar>
                      <w:top w:w="0" w:type="dxa"/>
                      <w:left w:w="0" w:type="dxa"/>
                      <w:bottom w:w="0" w:type="dxa"/>
                      <w:right w:w="0" w:type="dxa"/>
                    </w:tblCellMar>
                  </w:tblPr>
                  <w:tblGrid>
                    <w:gridCol w:w="7425"/>
                  </w:tblGrid>
                  <w:tr>
                    <w:tblPrEx>
                      <w:tblW w:w="74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$110,000</w:t>
                        </w:r>
                      </w:p>
                    </w:tc>
                  </w:tr>
                  <w:tr>
                    <w:tblPrEx>
                      <w:tblW w:w="742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$16,000 Accounts Receivable + $64,000 Equipment = $110,000)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65" w:type="dxa"/>
                    <w:jc w:val="left"/>
                    <w:tblBorders>
                      <w:top w:val="nil"/>
                      <w:left w:val="nil"/>
                      <w:bottom w:val="nil"/>
                      <w:right w:val="nil"/>
                      <w:insideH w:val="nil"/>
                      <w:insideV w:val="nil"/>
                    </w:tblBorders>
                    <w:tblCellMar>
                      <w:top w:w="0" w:type="dxa"/>
                      <w:left w:w="0" w:type="dxa"/>
                      <w:bottom w:w="0" w:type="dxa"/>
                      <w:right w:w="0" w:type="dxa"/>
                    </w:tblCellMar>
                  </w:tblPr>
                  <w:tblGrid>
                    <w:gridCol w:w="6765"/>
                  </w:tblGrid>
                  <w:tr>
                    <w:tblPrEx>
                      <w:tblW w:w="67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676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$17,000)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is Scott Industries profitable?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($40,000 Salaries and Wages Expense + $44,000 Selling Expenses + $18,000 Income Taxes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made the following selected transactions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sale of stock,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dividends to stockholders,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 $160.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type—(A)assets, (L)liabilities, (SE)stockholders' equity, (R)revenue, and (E)expense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Note: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29"/>
              <w:gridCol w:w="796"/>
              <w:gridCol w:w="1163"/>
              <w:gridCol w:w="1071"/>
              <w:gridCol w:w="1163"/>
              <w:gridCol w:w="798"/>
              <w:gridCol w:w="981"/>
              <w:gridCol w:w="1073"/>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447"/>
                    <w:gridCol w:w="736"/>
                    <w:gridCol w:w="918"/>
                    <w:gridCol w:w="725"/>
                    <w:gridCol w:w="764"/>
                    <w:gridCol w:w="736"/>
                    <w:gridCol w:w="918"/>
                    <w:gridCol w:w="725"/>
                    <w:gridCol w:w="764"/>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390"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Entry</w:t>
                        </w:r>
                      </w:p>
                    </w:tc>
                    <w:tc>
                      <w:tcPr>
                        <w:tcW w:w="3390"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Entry</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Name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 Type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Name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Common Stock</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3</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Fees Earned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4</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Dividends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6</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Supplies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Company purchased various landscaping supplies on account to be used for landscape designs for its customers. How will this business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Ramirez Company paid its electric bill in the amount of $60.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(Cash) and decrease stockholders’ equity (Utilities Expense)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Payment of cash dividends to stockholders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effect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stockholders'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Assets increase;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total amount of the seller’s (1) assets,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on a loan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liabilities, and (3)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Stockholders'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stockholders'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Austin Land Company sold land for $85,000 in cash. The land was originally purchased for $65,000. At the time of the sale, $40,000 was still owed to Regions Bank. After the sale, Austin Land Company paid off the loan. Explain the effect of the sale and the payoff of the loan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5"/>
              <w:gridCol w:w="7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$40,000 (Loan payoff to Regions Bank)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increases $20,000 (Sales price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Cost of the 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are four transactions that affect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What are the two types of transactions that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additional common stock by stockholders and increase in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Payment of dividends to stockholders and increase in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year, and its revenue and expenses for the year follow. The common stock was $120,000 and the retained earnings was $60,000 at April 1, the beginning of the current year. During the year, shareholders purchased an additional $25,000 in stock.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Identify each of the following as an (1) increase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or a (2) decrease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revenue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1"/>
                    <w:gridCol w:w="7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8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810" w:type="dxa"/>
                    <w:jc w:val="left"/>
                    <w:tblBorders>
                      <w:top w:val="nil"/>
                      <w:left w:val="nil"/>
                      <w:bottom w:val="nil"/>
                      <w:right w:val="nil"/>
                      <w:insideH w:val="nil"/>
                      <w:insideV w:val="nil"/>
                    </w:tblBorders>
                    <w:tblCellMar>
                      <w:top w:w="0" w:type="dxa"/>
                      <w:left w:w="0" w:type="dxa"/>
                      <w:bottom w:w="0" w:type="dxa"/>
                      <w:right w:w="0" w:type="dxa"/>
                    </w:tblCellMar>
                  </w:tblPr>
                  <w:tblGrid>
                    <w:gridCol w:w="1396"/>
                    <w:gridCol w:w="2158"/>
                    <w:gridCol w:w="1628"/>
                    <w:gridCol w:w="1628"/>
                  </w:tblGrid>
                  <w:tr>
                    <w:tblPrEx>
                      <w:tblW w:w="68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(25,820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2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Thompson Computer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April 1               $120,000                     $60,000                      $180,000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common stock            25,000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47,630                          47,630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(16,570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(16,570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$145,000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$91,060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$236,060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49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30" w:type="dxa"/>
                    <w:jc w:val="left"/>
                    <w:tblBorders>
                      <w:top w:val="nil"/>
                      <w:left w:val="nil"/>
                      <w:bottom w:val="nil"/>
                      <w:right w:val="nil"/>
                      <w:insideH w:val="nil"/>
                      <w:insideV w:val="nil"/>
                    </w:tblBorders>
                    <w:tblCellMar>
                      <w:top w:w="0" w:type="dxa"/>
                      <w:left w:w="0" w:type="dxa"/>
                      <w:bottom w:w="0" w:type="dxa"/>
                      <w:right w:w="0" w:type="dxa"/>
                    </w:tblCellMar>
                  </w:tblPr>
                  <w:tblGrid>
                    <w:gridCol w:w="4746"/>
                    <w:gridCol w:w="1584"/>
                  </w:tblGrid>
                  <w:tr>
                    <w:tblPrEx>
                      <w:tblW w:w="63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4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157,630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936"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936"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91,060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936"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236,060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936"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information to determine the net income or net loss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stockholders' equity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Ending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 dividends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stockholders' equity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Beginning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in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sale of stock</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0"/>
              <w:gridCol w:w="373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843" w:type="dxa"/>
                    <w:jc w:val="left"/>
                    <w:tblBorders>
                      <w:top w:val="nil"/>
                      <w:left w:val="nil"/>
                      <w:bottom w:val="nil"/>
                      <w:right w:val="nil"/>
                      <w:insideH w:val="nil"/>
                      <w:insideV w:val="nil"/>
                    </w:tblBorders>
                    <w:tblCellMar>
                      <w:top w:w="0" w:type="dxa"/>
                      <w:left w:w="0" w:type="dxa"/>
                      <w:bottom w:w="0" w:type="dxa"/>
                      <w:right w:w="0" w:type="dxa"/>
                    </w:tblCellMar>
                  </w:tblPr>
                  <w:tblGrid>
                    <w:gridCol w:w="5043"/>
                    <w:gridCol w:w="1800"/>
                  </w:tblGrid>
                  <w:tr>
                    <w:tblPrEx>
                      <w:tblW w:w="6843"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843"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6843"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43"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land</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issuing common stock</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$70,180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Match the following items to the financial statement where they can be found. (</w:t>
            </w:r>
            <w:r>
              <w:rPr>
                <w:rStyle w:val="DefaultParagraphFont"/>
                <w:rFonts w:ascii="Times New Roman" w:eastAsia="Times New Roman" w:hAnsi="Times New Roman" w:cs="Times New Roman"/>
                <w:b w:val="0"/>
                <w:bCs w:val="0"/>
                <w:i/>
                <w:iCs/>
                <w:smallCaps w:val="0"/>
                <w:color w:val="000000"/>
                <w:sz w:val="22"/>
                <w:szCs w:val="22"/>
                <w:bdr w:val="nil"/>
                <w:rtl w:val="0"/>
              </w:rPr>
              <w:t>Hint</w:t>
            </w:r>
            <w:r>
              <w:rPr>
                <w:rStyle w:val="DefaultParagraphFont"/>
                <w:rFonts w:ascii="Times New Roman" w:eastAsia="Times New Roman" w:hAnsi="Times New Roman" w:cs="Times New Roman"/>
                <w:b w:val="0"/>
                <w:bCs w:val="0"/>
                <w:i w:val="0"/>
                <w:iCs w:val="0"/>
                <w:smallCaps w:val="0"/>
                <w:color w:val="000000"/>
                <w:sz w:val="22"/>
                <w:szCs w:val="22"/>
                <w:bdr w:val="nil"/>
                <w:rtl w:val="0"/>
              </w:rPr>
              <w:t>: Some of the items can be found on more than one financial statement.)</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Statement of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w:t>
            </w: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018"/>
              <w:gridCol w:w="3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616" w:type="dxa"/>
                    <w:jc w:val="left"/>
                    <w:tblBorders>
                      <w:top w:val="nil"/>
                      <w:left w:val="nil"/>
                      <w:bottom w:val="nil"/>
                      <w:right w:val="nil"/>
                      <w:insideH w:val="nil"/>
                      <w:insideV w:val="nil"/>
                    </w:tblBorders>
                    <w:tblCellMar>
                      <w:top w:w="0" w:type="dxa"/>
                      <w:left w:w="0" w:type="dxa"/>
                      <w:bottom w:w="0" w:type="dxa"/>
                      <w:right w:w="0" w:type="dxa"/>
                    </w:tblCellMar>
                  </w:tblPr>
                  <w:tblGrid>
                    <w:gridCol w:w="314"/>
                    <w:gridCol w:w="3446"/>
                    <w:gridCol w:w="1856"/>
                  </w:tblGrid>
                  <w:tr>
                    <w:tblPrEx>
                      <w:tblW w:w="5616"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Answer</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D</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Statement of stockholders’ equity: A summary of the changes in stockholders’ equity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2"/>
              <w:gridCol w:w="3728"/>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operating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$12,120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party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9,480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666" w:type="dxa"/>
                    <w:jc w:val="left"/>
                    <w:tblBorders>
                      <w:top w:val="nil"/>
                      <w:left w:val="nil"/>
                      <w:bottom w:val="nil"/>
                      <w:right w:val="nil"/>
                      <w:insideH w:val="nil"/>
                      <w:insideV w:val="nil"/>
                    </w:tblBorders>
                    <w:tblCellMar>
                      <w:top w:w="0" w:type="dxa"/>
                      <w:left w:w="0" w:type="dxa"/>
                      <w:bottom w:w="0" w:type="dxa"/>
                      <w:right w:w="0" w:type="dxa"/>
                    </w:tblCellMar>
                  </w:tblPr>
                  <w:tblGrid>
                    <w:gridCol w:w="5016"/>
                    <w:gridCol w:w="1650"/>
                  </w:tblGrid>
                  <w:tr>
                    <w:tblPrEx>
                      <w:tblW w:w="6666"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666"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666"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dividends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$36,270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Rocky's Day Spa for the current year ended December 31.</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403" w:type="dxa"/>
                    <w:jc w:val="left"/>
                    <w:tblBorders>
                      <w:top w:val="nil"/>
                      <w:left w:val="nil"/>
                      <w:bottom w:val="nil"/>
                      <w:right w:val="nil"/>
                      <w:insideH w:val="nil"/>
                      <w:insideV w:val="nil"/>
                    </w:tblBorders>
                    <w:tblCellMar>
                      <w:top w:w="0" w:type="dxa"/>
                      <w:left w:w="0" w:type="dxa"/>
                      <w:bottom w:w="0" w:type="dxa"/>
                      <w:right w:w="0" w:type="dxa"/>
                    </w:tblCellMar>
                  </w:tblPr>
                  <w:tblGrid>
                    <w:gridCol w:w="3903"/>
                    <w:gridCol w:w="750"/>
                    <w:gridCol w:w="750"/>
                  </w:tblGrid>
                  <w:tr>
                    <w:tblPrEx>
                      <w:tblW w:w="5403"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(52,810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$ 45,625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28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stockholders' equity was $68,000 ($48,000 in Common Stock and $20,000 in Retained Earnings) at January 1. An additional $10,000 of common stock was issued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Rocky's Day Spa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045" w:type="dxa"/>
                    <w:jc w:val="left"/>
                    <w:tblBorders>
                      <w:top w:val="nil"/>
                      <w:left w:val="nil"/>
                      <w:bottom w:val="nil"/>
                      <w:right w:val="nil"/>
                      <w:insideH w:val="nil"/>
                      <w:insideV w:val="nil"/>
                    </w:tblBorders>
                    <w:tblCellMar>
                      <w:top w:w="0" w:type="dxa"/>
                      <w:left w:w="0" w:type="dxa"/>
                      <w:bottom w:w="0" w:type="dxa"/>
                      <w:right w:w="0" w:type="dxa"/>
                    </w:tblCellMar>
                  </w:tblPr>
                  <w:tblGrid>
                    <w:gridCol w:w="2618"/>
                    <w:gridCol w:w="2582"/>
                    <w:gridCol w:w="825"/>
                    <w:gridCol w:w="20"/>
                  </w:tblGrid>
                  <w:tr>
                    <w:tblPrEx>
                      <w:tblW w:w="604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52"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Assets</w:t>
                        </w:r>
                      </w:p>
                    </w:tc>
                    <w:tc>
                      <w:tcPr>
                        <w:tcW w:w="8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w:t>
                        </w:r>
                        <w:r>
                          <w:rPr>
                            <w:rStyle w:val="DefaultParagraphFont"/>
                            <w:rFonts w:ascii="Times New Roman" w:eastAsia="Times New Roman" w:hAnsi="Times New Roman" w:cs="Times New Roman"/>
                            <w:b w:val="0"/>
                            <w:bCs w:val="0"/>
                            <w:i w:val="0"/>
                            <w:iCs w:val="0"/>
                            <w:smallCaps w:val="0"/>
                            <w:color w:val="000000"/>
                            <w:sz w:val="22"/>
                            <w:szCs w:val="22"/>
                            <w:bdr w:val="nil"/>
                            <w:rtl w:val="0"/>
                          </w:rPr>
                          <w:t> equipment</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56,000</w:t>
                        </w:r>
                      </w:p>
                    </w:tc>
                    <w:tc>
                      <w:tcPr>
                        <w:tcW w:w="20" w:type="dxa"/>
                        <w:noWrap w:val="0"/>
                        <w:tcMar>
                          <w:top w:w="0" w:type="dxa"/>
                          <w:left w:w="0" w:type="dxa"/>
                          <w:bottom w:w="0" w:type="dxa"/>
                          <w:right w:w="0" w:type="dxa"/>
                        </w:tcMar>
                        <w:vAlign w:val="bottom"/>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0" w:type="dxa"/>
                        <w:noWrap w:val="0"/>
                        <w:tcMar>
                          <w:top w:w="0" w:type="dxa"/>
                          <w:left w:w="0" w:type="dxa"/>
                          <w:bottom w:w="0" w:type="dxa"/>
                          <w:right w:w="0" w:type="dxa"/>
                        </w:tcMar>
                        <w:vAlign w:val="bottom"/>
                      </w:tcPr>
                      <w:p>
                        <w:pPr>
                          <w:bidi w:val="0"/>
                          <w:jc w:val="left"/>
                        </w:pPr>
                      </w:p>
                    </w:tc>
                  </w:tr>
                  <w:tr>
                    <w:tblPrEx>
                      <w:tblW w:w="6045" w:type="dxa"/>
                      <w:jc w:val="left"/>
                      <w:tblCellMar>
                        <w:top w:w="0" w:type="dxa"/>
                        <w:left w:w="0" w:type="dxa"/>
                        <w:bottom w:w="0" w:type="dxa"/>
                        <w:right w:w="0" w:type="dxa"/>
                      </w:tblCellMar>
                    </w:tblPrEx>
                    <w:trPr>
                      <w:cantSplit w:val="0"/>
                      <w:jc w:val="left"/>
                    </w:trPr>
                    <w:tc>
                      <w:tcPr>
                        <w:tcW w:w="2218"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34"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Stockholders' Equity</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834"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$58,000</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834"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27,455</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45" w:type="dxa"/>
                      <w:jc w:val="left"/>
                      <w:tblCellMar>
                        <w:top w:w="0" w:type="dxa"/>
                        <w:left w:w="0" w:type="dxa"/>
                        <w:bottom w:w="0" w:type="dxa"/>
                        <w:right w:w="0" w:type="dxa"/>
                      </w:tblCellMar>
                    </w:tblPrEx>
                    <w:trPr>
                      <w:cantSplit w:val="0"/>
                      <w:jc w:val="left"/>
                    </w:trPr>
                    <w:tc>
                      <w:tcPr>
                        <w:tcW w:w="261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85,455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stockholders' equity was $68,000 ($48,000 in Common S</w:t>
            </w:r>
            <w:r>
              <w:rPr>
                <w:rStyle w:val="DefaultParagraphFont"/>
                <w:rFonts w:ascii="Times New Roman" w:eastAsia="Times New Roman" w:hAnsi="Times New Roman" w:cs="Times New Roman"/>
                <w:b w:val="0"/>
                <w:bCs w:val="0"/>
                <w:i w:val="0"/>
                <w:iCs w:val="0"/>
                <w:smallCaps w:val="0"/>
                <w:color w:val="000000"/>
                <w:sz w:val="22"/>
                <w:szCs w:val="22"/>
                <w:bdr w:val="nil"/>
                <w:rtl w:val="0"/>
              </w:rPr>
              <w:t>tock and $20,000 in Retained 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January 1. The shareholders invested in an additional $10,000 of common stock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Dividends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stockholder's equity for Rocky's Day Spa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Rocky’s Day Spa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January 1             $48,000                        $20,000                       $68,000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common stock            10,000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45,625                         45,625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(38,170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(38,170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December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$58,000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$27,455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$85,455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accounts taken from Lamar’s accounting records, identify those that would appear on the income statement.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Investments</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accounts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activities would be reported on the statement of cash flows as an operating activity, an investing activity, or a financing activity.</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a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borrowed from a bank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88"/>
                    <w:gridCol w:w="7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shareholders purchased $15,000 of common stock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shareholders were paid $40,000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shareholders purchased $12,000 of common stock and were paid $16,000 in dividends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Revenues for the year totaled $198,150 and expenses totaled $174,200.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shareholders were paid $35,000 dividends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32"/>
              <w:gridCol w:w="7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3"/>
                    <w:gridCol w:w="7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$35,800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$45,500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$(23,000)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$23,950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4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and Palaces at the beginning and end of the current fiscal year are as follows:</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w:t>
                  </w:r>
                  <w:r>
                    <w:rPr>
                      <w:rStyle w:val="DefaultParagraphFont"/>
                      <w:rFonts w:ascii="Times New Roman" w:eastAsia="Times New Roman" w:hAnsi="Times New Roman" w:cs="Times New Roman"/>
                      <w:b w:val="0"/>
                      <w:bCs w:val="0"/>
                      <w:i w:val="0"/>
                      <w:iCs w:val="0"/>
                      <w:smallCaps w:val="0"/>
                      <w:color w:val="000000"/>
                      <w:sz w:val="22"/>
                      <w:szCs w:val="22"/>
                      <w:bdr w:val="nil"/>
                      <w:rtl w:val="0"/>
                    </w:rPr>
                    <w:t>No additional common stock was issued and no dividends were paid.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end of the year are unchanged from the amounts initially presented. However, the shareholders were paid $53,000 in cash dividends during the year (no additional purchase of common stock).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amounts initially presented. However, the shareholders paid for $35,000 of common stock in June of the current fiscal year (no dividends).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amounts initially presented. However, the shareholders paid for $12,000 of common stock in August of the current fiscal year and were paid 12 monthly cash dividends of $1,500 each during the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8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Stockholders'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152"/>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stockholders'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Add dividends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sale of common stock</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Selected transaction data of a business for September are summarized as follows:  </w:t>
            </w:r>
            <w: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included above)</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following amounts for September: (a) total revenue, (b) total expenses, (c) net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88"/>
                    <w:gridCol w:w="7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$61,000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$43,250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$17,750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amount of common stock and retained earnings in Richard’s Catering Company was $100,000 and $50,000, respectively. During March, stockholders were paid $31,000 in dividends from the business. The amounts of the various assets, liabilities, revenues, and expenses are as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904"/>
              <w:gridCol w:w="359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88,400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an income statement for March, (b) a statement of stockholders' equity for March, and (c) a balance sheet as of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1"/>
              <w:gridCol w:w="9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(35,110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815" w:type="dxa"/>
                    <w:jc w:val="left"/>
                    <w:tblBorders>
                      <w:top w:val="nil"/>
                      <w:left w:val="nil"/>
                      <w:bottom w:val="nil"/>
                      <w:right w:val="nil"/>
                      <w:insideH w:val="nil"/>
                      <w:insideV w:val="nil"/>
                    </w:tblBorders>
                    <w:tblCellMar>
                      <w:top w:w="0" w:type="dxa"/>
                      <w:left w:w="0" w:type="dxa"/>
                      <w:bottom w:w="0" w:type="dxa"/>
                      <w:right w:w="0" w:type="dxa"/>
                    </w:tblCellMar>
                  </w:tblPr>
                  <w:tblGrid>
                    <w:gridCol w:w="7815"/>
                  </w:tblGrid>
                  <w:tr>
                    <w:tblPrEx>
                      <w:tblW w:w="781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1      $100,000                  $50,000                     $150,000</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29,840                         29,840</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March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$48,840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$148,840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595" w:type="dxa"/>
                    <w:jc w:val="left"/>
                    <w:tblBorders>
                      <w:top w:val="nil"/>
                      <w:left w:val="nil"/>
                      <w:bottom w:val="nil"/>
                      <w:right w:val="nil"/>
                      <w:insideH w:val="nil"/>
                      <w:insideV w:val="nil"/>
                    </w:tblBorders>
                    <w:tblCellMar>
                      <w:top w:w="0" w:type="dxa"/>
                      <w:left w:w="0" w:type="dxa"/>
                      <w:bottom w:w="0" w:type="dxa"/>
                      <w:right w:w="0" w:type="dxa"/>
                    </w:tblCellMar>
                  </w:tblPr>
                  <w:tblGrid>
                    <w:gridCol w:w="2110"/>
                    <w:gridCol w:w="2458"/>
                    <w:gridCol w:w="1027"/>
                  </w:tblGrid>
                  <w:tr>
                    <w:tblPrEx>
                      <w:tblW w:w="55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270"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,400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p>
                    </w:tc>
                    <w:tc>
                      <w:tcPr>
                        <w:tcW w:w="1160" w:type="dxa"/>
                        <w:gridSpan w:val="2"/>
                        <w:noWrap w:val="0"/>
                        <w:tcMar>
                          <w:top w:w="0" w:type="dxa"/>
                          <w:left w:w="0" w:type="dxa"/>
                          <w:bottom w:w="0" w:type="dxa"/>
                          <w:right w:w="0" w:type="dxa"/>
                        </w:tcMar>
                        <w:vAlign w:val="top"/>
                      </w:tcPr>
                      <w:p>
                        <w:pPr>
                          <w:bidi w:val="0"/>
                          <w:jc w:val="left"/>
                        </w:pP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160"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100,000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48,840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116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148,840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an income statement for Bright Futures Company 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05" w:type="dxa"/>
              <w:jc w:val="left"/>
              <w:tblBorders>
                <w:top w:val="nil"/>
                <w:left w:val="nil"/>
                <w:bottom w:val="nil"/>
                <w:right w:val="nil"/>
                <w:insideH w:val="nil"/>
                <w:insideV w:val="nil"/>
              </w:tblBorders>
              <w:tblCellMar>
                <w:top w:w="0" w:type="dxa"/>
                <w:left w:w="0" w:type="dxa"/>
                <w:bottom w:w="0" w:type="dxa"/>
                <w:right w:w="0" w:type="dxa"/>
              </w:tblCellMar>
            </w:tblPr>
            <w:tblGrid>
              <w:gridCol w:w="3131"/>
              <w:gridCol w:w="1774"/>
            </w:tblGrid>
            <w:tr>
              <w:tblPrEx>
                <w:tblW w:w="49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5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(8,520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 statement of stockholders' equity for Bright Futures Company for the month ended August 31. No common stock was issued during the year.</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3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Bright Futures Company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August 1           $10,000                  $   4,320                       $14,320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7,180                           7,180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Dividends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August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$10,700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28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 balance sheet for Bright Futures Company as of August 31.</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6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(August 1)</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4,320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397" w:type="dxa"/>
                    <w:jc w:val="left"/>
                    <w:tblBorders>
                      <w:top w:val="nil"/>
                      <w:left w:val="nil"/>
                      <w:bottom w:val="nil"/>
                      <w:right w:val="nil"/>
                      <w:insideH w:val="nil"/>
                      <w:insideV w:val="nil"/>
                    </w:tblBorders>
                    <w:tblCellMar>
                      <w:top w:w="0" w:type="dxa"/>
                      <w:left w:w="0" w:type="dxa"/>
                      <w:bottom w:w="0" w:type="dxa"/>
                      <w:right w:w="0" w:type="dxa"/>
                    </w:tblCellMar>
                  </w:tblPr>
                  <w:tblGrid>
                    <w:gridCol w:w="2698"/>
                    <w:gridCol w:w="2698"/>
                  </w:tblGrid>
                  <w:tr>
                    <w:tblPrEx>
                      <w:tblW w:w="539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17,600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Stockholders'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 </w:t>
                        </w:r>
                      </w:p>
                    </w:tc>
                    <w:tc>
                      <w:tcPr>
                        <w:tcW w:w="153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10,700</w:t>
                        </w:r>
                      </w:p>
                    </w:tc>
                  </w:tr>
                  <w:tr>
                    <w:tblPrEx>
                      <w:tblW w:w="5397"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20,700</w:t>
                        </w:r>
                      </w:p>
                    </w:tc>
                  </w:tr>
                  <w:tr>
                    <w:tblPrEx>
                      <w:tblW w:w="5397" w:type="dxa"/>
                      <w:jc w:val="left"/>
                      <w:tblCellMar>
                        <w:top w:w="0" w:type="dxa"/>
                        <w:left w:w="0" w:type="dxa"/>
                        <w:bottom w:w="0" w:type="dxa"/>
                        <w:right w:w="0" w:type="dxa"/>
                      </w:tblCellMar>
                    </w:tblPrEx>
                    <w:trPr>
                      <w:cantSplit w:val="0"/>
                      <w:jc w:val="left"/>
                    </w:trPr>
                    <w:tc>
                      <w:tcPr>
                        <w:tcW w:w="153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Stockholders'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 balances of Awesome Travel Services at December 31 are listed. There were no additional investments or dividends by Awesome Travel Services during the year.</w:t>
            </w:r>
            <w: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34"/>
              <w:gridCol w:w="1108"/>
              <w:gridCol w:w="390"/>
              <w:gridCol w:w="2776"/>
              <w:gridCol w:w="1096"/>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 (Jan.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year ended December 31, a statement of stockholders' equity for the year ended December 31, and a balance sheet as of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88"/>
              <w:gridCol w:w="9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tblW w:w="4977" w:type="dxa"/>
                    <w:jc w:val="left"/>
                    <w:tblBorders>
                      <w:top w:val="nil"/>
                      <w:left w:val="nil"/>
                      <w:bottom w:val="nil"/>
                      <w:right w:val="nil"/>
                      <w:insideH w:val="nil"/>
                      <w:insideV w:val="nil"/>
                    </w:tblBorders>
                    <w:tblCellMar>
                      <w:top w:w="0" w:type="dxa"/>
                      <w:left w:w="0" w:type="dxa"/>
                      <w:bottom w:w="0" w:type="dxa"/>
                      <w:right w:w="0" w:type="dxa"/>
                    </w:tblCellMar>
                  </w:tblPr>
                  <w:tblGrid>
                    <w:gridCol w:w="193"/>
                    <w:gridCol w:w="1843"/>
                    <w:gridCol w:w="1834"/>
                    <w:gridCol w:w="1107"/>
                  </w:tblGrid>
                  <w:tr>
                    <w:tblPrEx>
                      <w:tblW w:w="49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46,000</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Awesome Travel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Stockholders’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Common                 Retained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Stock                       Earnings                      Total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January 1            $4,000                      $  6,000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32,000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Balances, December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38" w:type="dxa"/>
                    <w:jc w:val="left"/>
                    <w:tblBorders>
                      <w:top w:val="nil"/>
                      <w:left w:val="nil"/>
                      <w:bottom w:val="nil"/>
                      <w:right w:val="nil"/>
                      <w:insideH w:val="nil"/>
                      <w:insideV w:val="nil"/>
                    </w:tblBorders>
                    <w:tblCellMar>
                      <w:top w:w="0" w:type="dxa"/>
                      <w:left w:w="0" w:type="dxa"/>
                      <w:bottom w:w="0" w:type="dxa"/>
                      <w:right w:w="0" w:type="dxa"/>
                    </w:tblCellMar>
                  </w:tblPr>
                  <w:tblGrid>
                    <w:gridCol w:w="3698"/>
                    <w:gridCol w:w="2140"/>
                  </w:tblGrid>
                  <w:tr>
                    <w:tblPrEx>
                      <w:tblW w:w="5838"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9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21,000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top"/>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p>
                    </w:tc>
                    <w:tc>
                      <w:tcPr>
                        <w:tcW w:w="1023" w:type="dxa"/>
                        <w:noWrap w:val="0"/>
                        <w:tcMar>
                          <w:top w:w="0" w:type="dxa"/>
                          <w:left w:w="0" w:type="dxa"/>
                          <w:bottom w:w="0" w:type="dxa"/>
                          <w:right w:w="0" w:type="dxa"/>
                        </w:tcMar>
                        <w:vAlign w:val="center"/>
                      </w:tcPr>
                      <w:p>
                        <w:pPr>
                          <w:bidi w:val="0"/>
                        </w:pP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Liabilities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Stockholders'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stock</w:t>
                        </w:r>
                      </w:p>
                    </w:tc>
                    <w:tc>
                      <w:tcPr>
                        <w:tcW w:w="1023"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Cambria Math" w:eastAsia="Cambria Math" w:hAnsi="Cambria Math" w:cs="Cambria Math"/>
                            <w:b w:val="0"/>
                            <w:bCs w:val="0"/>
                            <w:i w:val="0"/>
                            <w:iCs w:val="0"/>
                            <w:smallCaps w:val="0"/>
                            <w:color w:val="000000"/>
                            <w:sz w:val="22"/>
                            <w:szCs w:val="22"/>
                            <w:bdr w:val="nil"/>
                            <w:rtl w:val="0"/>
                          </w:rPr>
                          <w:t>$ 4,000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Retained earnings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38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42,000</w:t>
                        </w:r>
                      </w:p>
                    </w:tc>
                  </w:tr>
                  <w:tr>
                    <w:tblPrEx>
                      <w:tblW w:w="5838"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w:t>
                        </w:r>
                      </w:p>
                    </w:tc>
                    <w:tc>
                      <w:tcPr>
                        <w:tcW w:w="1023"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04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Schultz Tax Services, a tax preparation business, had the following transactions during the month of June: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Received cash for providing accounting services, $3,000.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Billed customers on account for providing services, $7,000.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Paid advertising expense, $800.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Received cash from customers on account, $3,800.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Paid shareholder dividends, $1,500.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Received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Paid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provided, compute the balance of Cash at June 30. Use the following format: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9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74"/>
                    <w:gridCol w:w="8102"/>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6,800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2,520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$29,280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6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had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answers to two decimal places.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7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1.35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($128,250 ÷ $95,000)         ($120,000 ÷ $80,000)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owner’s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 the ratio of liabilities to stockholders' equity. Round answers to two decimal places.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12/31/Year 2: $150,000 ÷ $75,000 = 2.00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12/31/Year 1: $105,000 ÷ $60,000 = 1.75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Any 12-month accounting period adopted by a company is known as its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that ends when business activities have reached their lowest point is called the natural business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All companies must use a calendar year as their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businesses end their fiscal year on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allow users to identify the similarities and differences among reported items are said to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are available to help users in decision making show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Relevant and faithful representation of accounting data is enhanced when financial reports are clear and concise. Such reports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said to be verifiable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available in time to influence users'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formatted clearly and concisely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demonstrate the similarities and differences among reported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users can agree on the meaning of reported items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for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ordinarily begins on the first day of a month and ends on the last day of the following twelfth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determined by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begins on January 1 and ends on December 31 of the same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end at the height of the business's annual operating cycle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business year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highest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highest point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owned by a business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of owners in a corporation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w:t>
                  </w: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in assets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stockholders’ equity of a company are $159,000 and $95,000, respectively. Liabilities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liabilities and stockholders’ equity of a company are $132,000 and $244,000, respectively. Assets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equity at the beginning of the year for ATLAS Inc. was $390,000, while its liabilities totaled $230,000. During the year, its assets increased by $75,000; its liabilities decreased by $50,000. What is the amount of stockholders’ equity at the end of the year for ATLAS Inc.?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beginning of the year, Winton Company’s assets were $180,000, and its stockholders’ equity was $82,000. During the year, assets increased by $25,000, and liabilities increased by $9,000. What is the amount of stockholders’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Bennett Designs at December 31, the end of the current year, and its revenue and expenses for the year are as follows: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were the total assets on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$238,060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$236,390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$309,840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$33,430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Redfox Pest Control Service had revenues of $425,000 and expenses of $338,000 for the current year ended June 30. At the beginning of the year, common stock was $110,000 and retained earnings was $70,000. During the year, Redfox issued an additional $25,000 in stock and paid dividends of $16,750. What is the amount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stockholders’ equity at the end of the year?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$275,250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$162,000 and expenses totaled $174,000. The company issued $15,000 of common stock and paid $6,000 in dividends during the year. What was the net income or net loss for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net loss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Obtaining funds by issuing stock to the public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financing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an investing and a financing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equipment for use in business operations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financing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an investing and an operating activity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Accounting and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